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/>
      </w:pPr>
      <w:r>
        <w:drawing>
          <wp:inline distT="0" distB="0" distL="0" distR="0">
            <wp:extent cx="1666875" cy="695325"/>
            <wp:effectExtent t="0" r="0" b="0" l="0"/>
            <wp:docPr id="1" name="Tamjab logo" descr="Tamjab logo" title="Tamj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60" w:before="0" w:line="300"/>
      </w:pPr>
      <w:r>
        <w:rPr>
          <w:rFonts w:ascii="Arial" w:cs="Arial" w:eastAsia="Arial" w:hAnsi="Arial"/>
          <w:b/>
          <w:bCs/>
          <w:caps/>
          <w:color w:val="E66F51"/>
          <w:spacing w:val="75"/>
          <w:sz w:val="15"/>
          <w:szCs w:val="15"/>
        </w:rPr>
        <w:t xml:space="preserve">CONCEPT NOTE  •  CLIENT OVERVIEW</w:t>
      </w:r>
    </w:p>
    <w:p>
      <w:pPr>
        <w:keepNext/>
        <w:spacing w:after="180" w:before="0" w:line="610"/>
      </w:pPr>
      <w:r>
        <w:rPr>
          <w:rFonts w:ascii="Arial" w:cs="Arial" w:eastAsia="Arial" w:hAnsi="Arial"/>
          <w:b/>
          <w:bCs/>
          <w:color w:val="174A44"/>
          <w:sz w:val="60"/>
          <w:szCs w:val="60"/>
        </w:rPr>
        <w:t xml:space="preserve">From potential
to meaningful impact.</w:t>
      </w:r>
    </w:p>
    <w:p>
      <w:pPr>
        <w:spacing w:after="180" w:before="0" w:line="330"/>
      </w:pPr>
      <w:r>
        <w:rPr>
          <w:rFonts w:ascii="Arial" w:cs="Arial" w:eastAsia="Arial" w:hAnsi="Arial"/>
          <w:color w:val="66736D"/>
          <w:sz w:val="22"/>
          <w:szCs w:val="22"/>
        </w:rPr>
        <w:t xml:space="preserve">A practical introduction to how Tamjab helps organisations, founders and leaders build clarity, trust, relationships and sustainable growth.</w:t>
      </w:r>
    </w:p>
    <w:p>
      <w:pPr>
        <w:spacing w:after="220"/>
      </w:pPr>
      <w:r>
        <w:drawing>
          <wp:inline distT="0" distB="0" distL="0" distR="0">
            <wp:extent cx="6191250" cy="2714625"/>
            <wp:effectExtent t="0" r="0" b="0" l="0"/>
            <wp:docPr id="1" name="African leaders collaborating on strategy" descr="African leaders collaborating on strategy" title="African leaders collaborating on strate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4A44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E66F51"/>
                <w:spacing w:val="70"/>
                <w:sz w:val="14"/>
                <w:szCs w:val="14"/>
              </w:rPr>
              <w:t xml:space="preserve">Strategy · Communications · Sustainability · Growth</w:t>
            </w:r>
          </w:p>
          <w:p>
            <w:pPr>
              <w:spacing w:after="0" w:before="0" w:line="285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For organisations ready to connect good ideas with the people, systems and opportunities that move them forward.</w:t>
            </w:r>
          </w:p>
        </w:tc>
      </w:tr>
    </w:tbl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02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THE OPPORTUNITY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Good work deserves
to be understood.</w:t>
      </w:r>
    </w:p>
    <w:p>
      <w:pPr>
        <w:spacing w:after="260" w:before="0" w:line="355"/>
      </w:pPr>
      <w:r>
        <w:rPr>
          <w:rFonts w:ascii="Arial" w:cs="Arial" w:eastAsia="Arial" w:hAnsi="Arial"/>
          <w:color w:val="66736D"/>
          <w:sz w:val="24"/>
          <w:szCs w:val="24"/>
        </w:rPr>
        <w:t xml:space="preserve">Organisations rarely lack ideas, commitment or expertise. The challenge is turning them into clarity, trust, relationships and opportunity.</w:t>
      </w:r>
    </w:p>
    <w:p>
      <w:pPr>
        <w:spacing w:after="220"/>
      </w:pPr>
      <w:r>
        <w:drawing>
          <wp:inline distT="0" distB="0" distL="0" distR="0">
            <wp:extent cx="6191250" cy="3381375"/>
            <wp:effectExtent t="0" r="0" b="0" l="0"/>
            <wp:docPr id="1" name="Cross-sector African leaders working together" descr="Cross-sector African leaders working together" title="Cross-sector African leaders working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Does this sound familiar?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4EB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Your offer is valuable, but difficult to explain.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Different teams communicate the organisation differently.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Strong work is not producing enough visibility or demand.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8DC" w:val="clear"/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Stakeholders hear from you, but do not feel meaningfully engaged.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Growth plans are not translating into consistent execution.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A sensitive issue could test trust before the team is ready.</w:t>
            </w:r>
          </w:p>
        </w:tc>
      </w:tr>
    </w:tbl>
    <w:p>
      <w:pPr>
        <w:spacing w:after="0" w:before="220" w:line="330"/>
      </w:pPr>
      <w:r>
        <w:rPr>
          <w:rFonts w:ascii="Arial" w:cs="Arial" w:eastAsia="Arial" w:hAnsi="Arial"/>
          <w:b/>
          <w:bCs/>
          <w:color w:val="174A44"/>
          <w:sz w:val="23"/>
          <w:szCs w:val="23"/>
        </w:rPr>
        <w:t xml:space="preserve">Tamjab helps connect the pieces — so strategy, communications, people and systems reinforce one another.</w:t>
      </w:r>
    </w:p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03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OUTCOMES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Start with the change
you need to see.</w:t>
      </w:r>
    </w:p>
    <w:p>
      <w:pPr>
        <w:spacing w:after="260" w:before="0" w:line="300"/>
      </w:pPr>
      <w:r>
        <w:rPr>
          <w:rFonts w:ascii="Arial" w:cs="Arial" w:eastAsia="Arial" w:hAnsi="Arial"/>
          <w:color w:val="66736D"/>
          <w:sz w:val="23"/>
          <w:szCs w:val="23"/>
        </w:rPr>
        <w:t xml:space="preserve">We shape the work around outcomes, not a pre-set package.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shd w:fill="F7F4EB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spacing w:after="13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01</w:t>
            </w:r>
          </w:p>
          <w:p>
            <w:pPr>
              <w:spacing w:after="11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9"/>
                <w:szCs w:val="29"/>
              </w:rPr>
              <w:t xml:space="preserve">Positioning</w:t>
            </w:r>
          </w:p>
          <w:p>
            <w:pPr>
              <w:spacing w:after="150" w:before="0" w:line="26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Make your value unmistakable in crowded or changing markets.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Clarify your relevance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Translate complexity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Align internal and external language</w:t>
            </w:r>
          </w:p>
        </w:tc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shd w:fill="F7F4EB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spacing w:after="13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02</w:t>
            </w:r>
          </w:p>
          <w:p>
            <w:pPr>
              <w:spacing w:after="11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9"/>
                <w:szCs w:val="29"/>
              </w:rPr>
              <w:t xml:space="preserve">Growth</w:t>
            </w:r>
          </w:p>
          <w:p>
            <w:pPr>
              <w:spacing w:after="150" w:before="0" w:line="26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Turn strategic intent into sustainable momentum and opportunity.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Connect visibility to demand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Close execution gaps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Build systems for the next stage</w:t>
            </w:r>
          </w:p>
        </w:tc>
      </w:tr>
      <w:tr>
        <w:trPr>
          <w:cantSplit/>
        </w:trPr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shd w:fill="F7F4EB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spacing w:after="13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03</w:t>
            </w:r>
          </w:p>
          <w:p>
            <w:pPr>
              <w:spacing w:after="11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9"/>
                <w:szCs w:val="29"/>
              </w:rPr>
              <w:t xml:space="preserve">Reputation</w:t>
            </w:r>
          </w:p>
          <w:p>
            <w:pPr>
              <w:spacing w:after="150" w:before="0" w:line="26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Strengthen credibility before trust is tested.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Create message consistency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Prepare for scrutiny and change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Make impact easier to recognise</w:t>
            </w:r>
          </w:p>
        </w:tc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shd w:fill="F7F4EB" w:val="clear"/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spacing w:after="13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04</w:t>
            </w:r>
          </w:p>
          <w:p>
            <w:pPr>
              <w:spacing w:after="11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9"/>
                <w:szCs w:val="29"/>
              </w:rPr>
              <w:t xml:space="preserve">Engagement</w:t>
            </w:r>
          </w:p>
          <w:p>
            <w:pPr>
              <w:spacing w:after="150" w:before="0" w:line="26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Move beyond broadcasting to relationships that create value.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Understand key stakeholders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Build dialogue around real needs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95" w:line="285"/>
            </w:pPr>
            <w:r>
              <w:rPr>
                <w:rFonts w:ascii="Arial" w:cs="Arial" w:eastAsia="Arial" w:hAnsi="Arial"/>
                <w:color w:val="102D28"/>
                <w:sz w:val="20"/>
                <w:szCs w:val="20"/>
              </w:rPr>
              <w:t xml:space="preserve">Turn attention into advocacy</w:t>
            </w:r>
          </w:p>
        </w:tc>
      </w:tr>
    </w:tbl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04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WHAT WE DO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Five connected
service areas.</w:t>
      </w:r>
    </w:p>
    <w:p>
      <w:pPr>
        <w:spacing w:after="220" w:before="0" w:line="300"/>
      </w:pPr>
      <w:r>
        <w:rPr>
          <w:rFonts w:ascii="Arial" w:cs="Arial" w:eastAsia="Arial" w:hAnsi="Arial"/>
          <w:color w:val="66736D"/>
          <w:sz w:val="22"/>
          <w:szCs w:val="22"/>
        </w:rPr>
        <w:t xml:space="preserve">One organisational challenge can cross several disciplines. Tamjab brings the right combination together.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0"/>
        <w:gridCol w:w="3600"/>
        <w:gridCol w:w="5806"/>
      </w:tblGrid>
      <w:tr>
        <w:trPr>
          <w:cantSplit/>
        </w:trPr>
        <w:tc>
          <w:tcPr>
            <w:tcW w:type="dxa" w:w="7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01</w:t>
            </w:r>
          </w:p>
        </w:tc>
        <w:tc>
          <w:tcPr>
            <w:tcW w:type="dxa" w:w="36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55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3"/>
                <w:szCs w:val="23"/>
              </w:rPr>
              <w:t xml:space="preserve">Strategic Communications</w:t>
            </w:r>
          </w:p>
          <w:p>
            <w:pPr>
              <w:spacing w:after="0" w:before="0" w:line="245"/>
            </w:pPr>
            <w:r>
              <w:rPr>
                <w:rFonts w:ascii="Arial" w:cs="Arial" w:eastAsia="Arial" w:hAnsi="Arial"/>
                <w:color w:val="66736D"/>
                <w:sz w:val="17"/>
                <w:szCs w:val="17"/>
              </w:rPr>
              <w:t xml:space="preserve">Clarity, stories and communications systems that support trust and organisational goals.</w:t>
            </w:r>
          </w:p>
        </w:tc>
        <w:tc>
          <w:tcPr>
            <w:tcW w:type="dxa" w:w="5806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235"/>
            </w:pPr>
            <w:r>
              <w:rPr>
                <w:rFonts w:ascii="Arial" w:cs="Arial" w:eastAsia="Arial" w:hAnsi="Arial"/>
                <w:color w:val="102D28"/>
                <w:sz w:val="16"/>
                <w:szCs w:val="16"/>
              </w:rPr>
              <w:t xml:space="preserve">Strategy · Audits · Content · Fundraising communications</w:t>
            </w:r>
          </w:p>
        </w:tc>
      </w:tr>
      <w:tr>
        <w:trPr>
          <w:cantSplit/>
        </w:trPr>
        <w:tc>
          <w:tcPr>
            <w:tcW w:type="dxa" w:w="7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02</w:t>
            </w:r>
          </w:p>
        </w:tc>
        <w:tc>
          <w:tcPr>
            <w:tcW w:type="dxa" w:w="36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55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3"/>
                <w:szCs w:val="23"/>
              </w:rPr>
              <w:t xml:space="preserve">Leadership Visibility</w:t>
            </w:r>
          </w:p>
          <w:p>
            <w:pPr>
              <w:spacing w:after="0" w:before="0" w:line="245"/>
            </w:pPr>
            <w:r>
              <w:rPr>
                <w:rFonts w:ascii="Arial" w:cs="Arial" w:eastAsia="Arial" w:hAnsi="Arial"/>
                <w:color w:val="66736D"/>
                <w:sz w:val="17"/>
                <w:szCs w:val="17"/>
              </w:rPr>
              <w:t xml:space="preserve">Make useful expertise easier to find, trust and remember.</w:t>
            </w:r>
          </w:p>
        </w:tc>
        <w:tc>
          <w:tcPr>
            <w:tcW w:type="dxa" w:w="5806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235"/>
            </w:pPr>
            <w:r>
              <w:rPr>
                <w:rFonts w:ascii="Arial" w:cs="Arial" w:eastAsia="Arial" w:hAnsi="Arial"/>
                <w:color w:val="102D28"/>
                <w:sz w:val="16"/>
                <w:szCs w:val="16"/>
              </w:rPr>
              <w:t xml:space="preserve">Executive positioning · Thought leadership · LinkedIn · Authority</w:t>
            </w:r>
          </w:p>
        </w:tc>
      </w:tr>
      <w:tr>
        <w:trPr>
          <w:cantSplit/>
        </w:trPr>
        <w:tc>
          <w:tcPr>
            <w:tcW w:type="dxa" w:w="7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03</w:t>
            </w:r>
          </w:p>
        </w:tc>
        <w:tc>
          <w:tcPr>
            <w:tcW w:type="dxa" w:w="36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55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3"/>
                <w:szCs w:val="23"/>
              </w:rPr>
              <w:t xml:space="preserve">Strategy &amp; Advisory</w:t>
            </w:r>
          </w:p>
          <w:p>
            <w:pPr>
              <w:spacing w:after="0" w:before="0" w:line="245"/>
            </w:pPr>
            <w:r>
              <w:rPr>
                <w:rFonts w:ascii="Arial" w:cs="Arial" w:eastAsia="Arial" w:hAnsi="Arial"/>
                <w:color w:val="66736D"/>
                <w:sz w:val="17"/>
                <w:szCs w:val="17"/>
              </w:rPr>
              <w:t xml:space="preserve">Make sense of direction, priorities and how the pieces connect.</w:t>
            </w:r>
          </w:p>
        </w:tc>
        <w:tc>
          <w:tcPr>
            <w:tcW w:type="dxa" w:w="5806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235"/>
            </w:pPr>
            <w:r>
              <w:rPr>
                <w:rFonts w:ascii="Arial" w:cs="Arial" w:eastAsia="Arial" w:hAnsi="Arial"/>
                <w:color w:val="102D28"/>
                <w:sz w:val="16"/>
                <w:szCs w:val="16"/>
              </w:rPr>
              <w:t xml:space="preserve">Organisational strategy · Growth · Diagnostics · Partnerships</w:t>
            </w:r>
          </w:p>
        </w:tc>
      </w:tr>
      <w:tr>
        <w:trPr>
          <w:cantSplit/>
        </w:trPr>
        <w:tc>
          <w:tcPr>
            <w:tcW w:type="dxa" w:w="7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04</w:t>
            </w:r>
          </w:p>
        </w:tc>
        <w:tc>
          <w:tcPr>
            <w:tcW w:type="dxa" w:w="36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55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3"/>
                <w:szCs w:val="23"/>
              </w:rPr>
              <w:t xml:space="preserve">Sustainability &amp; Responsible Growth</w:t>
            </w:r>
          </w:p>
          <w:p>
            <w:pPr>
              <w:spacing w:after="0" w:before="0" w:line="245"/>
            </w:pPr>
            <w:r>
              <w:rPr>
                <w:rFonts w:ascii="Arial" w:cs="Arial" w:eastAsia="Arial" w:hAnsi="Arial"/>
                <w:color w:val="66736D"/>
                <w:sz w:val="17"/>
                <w:szCs w:val="17"/>
              </w:rPr>
              <w:t xml:space="preserve">Connect purpose and impact to how the organisation creates value.</w:t>
            </w:r>
          </w:p>
        </w:tc>
        <w:tc>
          <w:tcPr>
            <w:tcW w:type="dxa" w:w="5806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235"/>
            </w:pPr>
            <w:r>
              <w:rPr>
                <w:rFonts w:ascii="Arial" w:cs="Arial" w:eastAsia="Arial" w:hAnsi="Arial"/>
                <w:color w:val="102D28"/>
                <w:sz w:val="16"/>
                <w:szCs w:val="16"/>
              </w:rPr>
              <w:t xml:space="preserve">Sustainability · ESG communications · Stakeholders · Impact positioning</w:t>
            </w:r>
          </w:p>
        </w:tc>
      </w:tr>
      <w:tr>
        <w:trPr>
          <w:cantSplit/>
        </w:trPr>
        <w:tc>
          <w:tcPr>
            <w:tcW w:type="dxa" w:w="7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E66F51"/>
                <w:sz w:val="14"/>
                <w:szCs w:val="14"/>
              </w:rPr>
              <w:t xml:space="preserve">05</w:t>
            </w:r>
          </w:p>
        </w:tc>
        <w:tc>
          <w:tcPr>
            <w:tcW w:type="dxa" w:w="3600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55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3"/>
                <w:szCs w:val="23"/>
              </w:rPr>
              <w:t xml:space="preserve">People &amp; Capability</w:t>
            </w:r>
          </w:p>
          <w:p>
            <w:pPr>
              <w:spacing w:after="0" w:before="0" w:line="245"/>
            </w:pPr>
            <w:r>
              <w:rPr>
                <w:rFonts w:ascii="Arial" w:cs="Arial" w:eastAsia="Arial" w:hAnsi="Arial"/>
                <w:color w:val="66736D"/>
                <w:sz w:val="17"/>
                <w:szCs w:val="17"/>
              </w:rPr>
              <w:t xml:space="preserve">Build the skills and systems needed to perform and grow.</w:t>
            </w:r>
          </w:p>
        </w:tc>
        <w:tc>
          <w:tcPr>
            <w:tcW w:type="dxa" w:w="5806"/>
            <w:tcBorders>
              <w:bottom w:val="single" w:color="C9C2B0" w:sz="5"/>
            </w:tcBorders>
            <w:tcMar>
              <w:top w:type="dxa" w:w="110"/>
              <w:left w:type="dxa" w:w="110"/>
              <w:bottom w:type="dxa" w:w="110"/>
              <w:right w:type="dxa" w:w="110"/>
            </w:tcMar>
            <w:vAlign w:val="top"/>
          </w:tcPr>
          <w:p>
            <w:pPr>
              <w:spacing w:after="0" w:before="0" w:line="235"/>
            </w:pPr>
            <w:r>
              <w:rPr>
                <w:rFonts w:ascii="Arial" w:cs="Arial" w:eastAsia="Arial" w:hAnsi="Arial"/>
                <w:color w:val="102D28"/>
                <w:sz w:val="16"/>
                <w:szCs w:val="16"/>
              </w:rPr>
              <w:t xml:space="preserve">Leadership training · Workforce readiness · Talent · Capacity building</w:t>
            </w:r>
          </w:p>
        </w:tc>
      </w:tr>
    </w:tbl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Crisis Communications</w:t>
      </w:r>
    </w:p>
    <w:p>
      <w:pPr>
        <w:spacing w:after="0" w:before="0" w:line="300"/>
      </w:pPr>
      <w:r>
        <w:rPr>
          <w:rFonts w:ascii="Arial" w:cs="Arial" w:eastAsia="Arial" w:hAnsi="Arial"/>
          <w:color w:val="66736D"/>
          <w:sz w:val="20"/>
          <w:szCs w:val="20"/>
        </w:rPr>
        <w:t xml:space="preserve">Preparedness and response sit across the model: helping leaders communicate quickly, maintain message discipline, protect stakeholder confidence and support reputation recovery when pressure is high.</w:t>
      </w:r>
    </w:p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05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HOW WE WORK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Connected thinking.
Practical movement.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4EB" w:val="clear"/>
            <w:tcMar>
              <w:top w:type="dxa" w:w="260"/>
              <w:left w:type="dxa" w:w="260"/>
              <w:bottom w:type="dxa" w:w="260"/>
              <w:right w:type="dxa" w:w="260"/>
            </w:tcMar>
            <w:vAlign w:val="top"/>
          </w:tcPr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E66F51"/>
                <w:spacing w:val="70"/>
                <w:sz w:val="14"/>
                <w:szCs w:val="14"/>
              </w:rPr>
              <w:t xml:space="preserve">The Tamjab model</w:t>
            </w:r>
          </w:p>
          <w:p>
            <w:pPr>
              <w:keepNext/>
              <w:spacing w:after="180" w:before="0" w:line="420"/>
            </w:pPr>
            <w:r>
              <w:rPr>
                <w:rFonts w:ascii="Arial" w:cs="Arial" w:eastAsia="Arial" w:hAnsi="Arial"/>
                <w:b/>
                <w:bCs/>
                <w:color w:val="174A44"/>
                <w:sz w:val="31"/>
                <w:szCs w:val="31"/>
              </w:rPr>
              <w:t xml:space="preserve">Think → Position → Communicate → Connect → Grow</w:t>
            </w:r>
          </w:p>
          <w:p>
            <w:pPr>
              <w:spacing w:after="0" w:before="0" w:line="310"/>
            </w:pPr>
            <w:r>
              <w:rPr>
                <w:rFonts w:ascii="Arial" w:cs="Arial" w:eastAsia="Arial" w:hAnsi="Arial"/>
                <w:color w:val="66736D"/>
                <w:sz w:val="21"/>
                <w:szCs w:val="21"/>
              </w:rPr>
              <w:t xml:space="preserve">Positioning shapes reputation. Reputation shapes trust. Trust creates relationships. Relationships create opportunity.</w:t>
            </w:r>
          </w:p>
        </w:tc>
      </w:tr>
    </w:tbl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A typical engagement can begin with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2"/>
                <w:szCs w:val="22"/>
              </w:rPr>
              <w:t xml:space="preserve">01  Diagnose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Clarify the challenge, context, stakeholders and current gaps.</w:t>
            </w:r>
          </w:p>
        </w:tc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2"/>
                <w:szCs w:val="22"/>
              </w:rPr>
              <w:t xml:space="preserve">02  Define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Agree priorities, outcomes and the most useful starting point.</w:t>
            </w:r>
          </w:p>
        </w:tc>
      </w:tr>
      <w:tr>
        <w:trPr>
          <w:cantSplit/>
        </w:trPr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2"/>
                <w:szCs w:val="22"/>
              </w:rPr>
              <w:t xml:space="preserve">03  Design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Build the strategy, messages, systems or learning experience.</w:t>
            </w:r>
          </w:p>
        </w:tc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22"/>
                <w:szCs w:val="22"/>
              </w:rPr>
              <w:t xml:space="preserve">04  Deliver &amp; strengthen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Support execution, capability and the next practical decisions.</w:t>
            </w:r>
          </w:p>
        </w:tc>
      </w:tr>
    </w:tbl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Ways to start</w:t>
      </w:r>
    </w:p>
    <w:p>
      <w:pPr>
        <w:spacing w:after="0" w:before="0" w:line="330"/>
      </w:pPr>
      <w:r>
        <w:rPr>
          <w:rFonts w:ascii="Arial" w:cs="Arial" w:eastAsia="Arial" w:hAnsi="Arial"/>
          <w:b/>
          <w:bCs/>
          <w:color w:val="E66F51"/>
          <w:sz w:val="21"/>
          <w:szCs w:val="21"/>
        </w:rPr>
        <w:t xml:space="preserve">A diagnostic or audit  •  A focused strategy project  •  Ongoing advisory  •  A team workshop or masterclass</w:t>
      </w:r>
    </w:p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06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SELECTED WORK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Evidence through
real-world challenges.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220"/>
            </w:pPr>
            <w:r>
              <w:drawing>
                <wp:inline distT="0" distB="0" distL="0" distR="0">
                  <wp:extent cx="2762250" cy="1571625"/>
                  <wp:effectExtent t="0" r="0" b="0" l="0"/>
                  <wp:docPr id="1" name="Customer and service professional reviewing a task" descr="Customer and service professional reviewing a task" title="Customer and service professional reviewing a tas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E66F51"/>
                <w:spacing w:val="70"/>
                <w:sz w:val="14"/>
                <w:szCs w:val="14"/>
              </w:rPr>
              <w:t xml:space="preserve">Taskers</w:t>
            </w:r>
          </w:p>
          <w:p>
            <w:pPr>
              <w:keepNext/>
              <w:spacing w:after="180" w:before="0" w:line="420"/>
            </w:pPr>
            <w:r>
              <w:rPr>
                <w:rFonts w:ascii="Arial" w:cs="Arial" w:eastAsia="Arial" w:hAnsi="Arial"/>
                <w:b/>
                <w:bCs/>
                <w:color w:val="174A44"/>
                <w:sz w:val="27"/>
                <w:szCs w:val="27"/>
              </w:rPr>
              <w:t xml:space="preserve">Turning everyday help into a trusted service</w:t>
            </w:r>
          </w:p>
          <w:p>
            <w:pPr>
              <w:spacing w:after="120" w:before="0" w:line="27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Tamjab explored how strategy, positioning, communications and customer experience could bring trust, convenience, people and technology together.</w:t>
            </w:r>
          </w:p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174A44"/>
                <w:sz w:val="17"/>
                <w:szCs w:val="17"/>
              </w:rPr>
              <w:t xml:space="preserve">Contribution: positioning, service messaging, customer-focused thinking and growth.</w:t>
            </w:r>
          </w:p>
        </w:tc>
        <w:tc>
          <w:tcPr>
            <w:tcW w:type="dxa" w:w="5053"/>
            <w:tcBorders>
              <w:top w:val="single" w:color="C9C2B0" w:sz="5"/>
              <w:left w:val="single" w:color="C9C2B0" w:sz="5"/>
              <w:bottom w:val="single" w:color="C9C2B0" w:sz="5"/>
              <w:right w:val="single" w:color="C9C2B0" w:sz="5"/>
            </w:tcBorders>
            <w:tcMar>
              <w:top w:type="dxa" w:w="180"/>
              <w:left w:type="dxa" w:w="180"/>
              <w:bottom w:type="dxa" w:w="180"/>
              <w:right w:type="dxa" w:w="180"/>
            </w:tcMar>
            <w:vAlign w:val="top"/>
          </w:tcPr>
          <w:p>
            <w:pPr>
              <w:spacing w:after="220"/>
            </w:pPr>
            <w:r>
              <w:drawing>
                <wp:inline distT="0" distB="0" distL="0" distR="0">
                  <wp:extent cx="2762250" cy="1571625"/>
                  <wp:effectExtent t="0" r="0" b="0" l="0"/>
                  <wp:docPr id="1" name="Healthcare and programme professionals collaborating" descr="Healthcare and programme professionals collaborating" title="Healthcare and programme professionals collabora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E66F51"/>
                <w:spacing w:val="70"/>
                <w:sz w:val="14"/>
                <w:szCs w:val="14"/>
              </w:rPr>
              <w:t xml:space="preserve">Jacob Hopes Foundation</w:t>
            </w:r>
          </w:p>
          <w:p>
            <w:pPr>
              <w:keepNext/>
              <w:spacing w:after="180" w:before="0" w:line="420"/>
            </w:pPr>
            <w:r>
              <w:rPr>
                <w:rFonts w:ascii="Arial" w:cs="Arial" w:eastAsia="Arial" w:hAnsi="Arial"/>
                <w:b/>
                <w:bCs/>
                <w:color w:val="174A44"/>
                <w:sz w:val="27"/>
                <w:szCs w:val="27"/>
              </w:rPr>
              <w:t xml:space="preserve">Turning personal loss into action</w:t>
            </w:r>
          </w:p>
          <w:p>
            <w:pPr>
              <w:spacing w:after="120" w:before="0" w:line="270"/>
            </w:pPr>
            <w:r>
              <w:rPr>
                <w:rFonts w:ascii="Arial" w:cs="Arial" w:eastAsia="Arial" w:hAnsi="Arial"/>
                <w:color w:val="66736D"/>
                <w:sz w:val="18"/>
                <w:szCs w:val="18"/>
              </w:rPr>
              <w:t xml:space="preserve">Tamjab supported programme strategy, stakeholder engagement and collaboration connecting patients, regional actors and Cameroonian medical expertise in the diaspora.</w:t>
            </w:r>
          </w:p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174A44"/>
                <w:sz w:val="17"/>
                <w:szCs w:val="17"/>
              </w:rPr>
              <w:t xml:space="preserve">Contribution: partnerships, advocacy, health communications and social impact strategy.</w:t>
            </w:r>
          </w:p>
        </w:tc>
      </w:tr>
    </w:tbl>
    <w:p>
      <w:pPr>
        <w:spacing w:after="0" w:before="250" w:line="290"/>
      </w:pPr>
      <w:r>
        <w:rPr>
          <w:rFonts w:ascii="Arial" w:cs="Arial" w:eastAsia="Arial" w:hAnsi="Arial"/>
          <w:b/>
          <w:bCs/>
          <w:color w:val="174A44"/>
          <w:sz w:val="19"/>
          <w:szCs w:val="19"/>
        </w:rPr>
        <w:t xml:space="preserve">Selected experience includes GIZ, Diageo, Caritas, Plan International, GreenFaith, ISHR, Engagement Global and Piron.</w:t>
      </w:r>
    </w:p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07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FIT &amp; ECOSYSTEM</w:t>
      </w:r>
    </w:p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Built for work
that crosses boundaries.</w:t>
      </w:r>
    </w:p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Who we work with</w:t>
      </w:r>
    </w:p>
    <w:p>
      <w:pPr>
        <w:spacing w:after="260" w:before="0" w:line="335"/>
      </w:pPr>
      <w:r>
        <w:rPr>
          <w:rFonts w:ascii="Arial" w:cs="Arial" w:eastAsia="Arial" w:hAnsi="Arial"/>
          <w:color w:val="66736D"/>
          <w:sz w:val="21"/>
          <w:szCs w:val="21"/>
        </w:rPr>
        <w:t xml:space="preserve">Technology  •  Healthcare  •  Nonprofits and social impact  •  FMCG and consumer brands  •  Banking and financial services  •  Founders and social entrepreneurs  •  Professional services</w:t>
      </w:r>
    </w:p>
    <w:p>
      <w:pPr>
        <w:spacing w:after="220"/>
      </w:pPr>
      <w:r>
        <w:drawing>
          <wp:inline distT="0" distB="0" distL="0" distR="0">
            <wp:extent cx="6191250" cy="2857500"/>
            <wp:effectExtent t="0" r="0" b="0" l="0"/>
            <wp:docPr id="1" name="Leaders from several sectors collaborating" descr="Leaders from several sectors collaborating" title="Leaders from several sectors collabora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Specialist solutions within the Tamjab ecosystem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4EB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19"/>
                <w:szCs w:val="19"/>
              </w:rPr>
              <w:t xml:space="preserve">Build Comms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6"/>
                <w:szCs w:val="16"/>
              </w:rPr>
              <w:t xml:space="preserve">Communications infrastructure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8DC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19"/>
                <w:szCs w:val="19"/>
              </w:rPr>
              <w:t xml:space="preserve">Comms System Audit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6"/>
                <w:szCs w:val="16"/>
              </w:rPr>
              <w:t xml:space="preserve">Communications diagnostic</w:t>
            </w:r>
          </w:p>
        </w:tc>
      </w:tr>
      <w:tr>
        <w:trPr>
          <w:cantSplit/>
        </w:trP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E8DC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19"/>
                <w:szCs w:val="19"/>
              </w:rPr>
              <w:t xml:space="preserve">WorkReady Africa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6"/>
                <w:szCs w:val="16"/>
              </w:rPr>
              <w:t xml:space="preserve">Talent and workforce readiness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4EB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19"/>
                <w:szCs w:val="19"/>
              </w:rPr>
              <w:t xml:space="preserve">Communications for Impact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6"/>
                <w:szCs w:val="16"/>
              </w:rPr>
              <w:t xml:space="preserve">Capacity building for impact organisations</w:t>
            </w:r>
          </w:p>
        </w:tc>
      </w:tr>
      <w:tr>
        <w:trPr>
          <w:cantSplit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4EB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120" w:before="0" w:line="300"/>
            </w:pPr>
            <w:r>
              <w:rPr>
                <w:rFonts w:ascii="Arial" w:cs="Arial" w:eastAsia="Arial" w:hAnsi="Arial"/>
                <w:b/>
                <w:bCs/>
                <w:color w:val="174A44"/>
                <w:sz w:val="19"/>
                <w:szCs w:val="19"/>
              </w:rPr>
              <w:t xml:space="preserve">Tamjab Masterclass</w:t>
            </w:r>
          </w:p>
          <w:p>
            <w:pPr>
              <w:spacing w:after="120" w:before="0" w:line="300"/>
            </w:pPr>
            <w:r>
              <w:rPr>
                <w:rFonts w:ascii="Arial" w:cs="Arial" w:eastAsia="Arial" w:hAnsi="Arial"/>
                <w:color w:val="66736D"/>
                <w:sz w:val="16"/>
                <w:szCs w:val="16"/>
              </w:rPr>
              <w:t xml:space="preserve">Practical professional learning</w:t>
            </w:r>
          </w:p>
        </w:tc>
      </w:tr>
    </w:tbl>
    <w:p>
      <w:pPr>
        <w:pageBreakBefore/>
        <w:pBdr>
          <w:bottom w:val="single" w:color="C9C2B0" w:sz="5"/>
        </w:pBdr>
        <w:spacing w:after="220"/>
      </w:pPr>
      <w:r>
        <w:rPr>
          <w:rFonts w:ascii="Arial" w:cs="Arial" w:eastAsia="Arial" w:hAnsi="Arial"/>
          <w:b/>
          <w:bCs/>
          <w:color w:val="E66F51"/>
          <w:sz w:val="14"/>
          <w:szCs w:val="14"/>
        </w:rPr>
        <w:t xml:space="preserve">08</w:t>
      </w:r>
      <w:r>
        <w:rPr>
          <w:rFonts w:ascii="Arial" w:cs="Arial" w:eastAsia="Arial" w:hAnsi="Arial"/>
          <w:b/>
          <w:bCs/>
          <w:color w:val="66736D"/>
          <w:spacing w:val="60"/>
          <w:sz w:val="14"/>
          <w:szCs w:val="14"/>
        </w:rPr>
        <w:t xml:space="preserve">   NEXT STEP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806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20"/>
            </w:pPr>
            <w:r>
              <w:drawing>
                <wp:inline distT="0" distB="0" distL="0" distR="0">
                  <wp:extent cx="2857500" cy="1562100"/>
                  <wp:effectExtent t="0" r="0" b="0" l="0"/>
                  <wp:docPr id="1" name="Irene Bonjeh Azong-Wara speaking on stage" descr="Irene Bonjeh Azong-Wara speaking on stage" title="Irene Bonjeh Azong-Wara speaking on st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20"/>
              <w:left w:type="dxa" w:w="220"/>
              <w:bottom w:type="dxa" w:w="220"/>
              <w:right w:type="dxa" w:w="220"/>
            </w:tcMar>
            <w:vAlign w:val="top"/>
          </w:tcPr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E66F51"/>
                <w:spacing w:val="70"/>
                <w:sz w:val="14"/>
                <w:szCs w:val="14"/>
              </w:rPr>
              <w:t xml:space="preserve">Meet the founder</w:t>
            </w:r>
          </w:p>
          <w:p>
            <w:pPr>
              <w:keepNext/>
              <w:spacing w:after="180" w:before="0" w:line="420"/>
            </w:pPr>
            <w:r>
              <w:rPr>
                <w:rFonts w:ascii="Arial" w:cs="Arial" w:eastAsia="Arial" w:hAnsi="Arial"/>
                <w:b/>
                <w:bCs/>
                <w:color w:val="174A44"/>
                <w:sz w:val="31"/>
                <w:szCs w:val="31"/>
              </w:rPr>
              <w:t xml:space="preserve">Irene Bonjeh Azong-Wara</w:t>
            </w:r>
          </w:p>
          <w:p>
            <w:pPr>
              <w:spacing w:after="120" w:before="0" w:line="250"/>
            </w:pPr>
            <w:r>
              <w:rPr>
                <w:rFonts w:ascii="Arial" w:cs="Arial" w:eastAsia="Arial" w:hAnsi="Arial"/>
                <w:b/>
                <w:bCs/>
                <w:color w:val="E66F51"/>
                <w:sz w:val="17"/>
                <w:szCs w:val="17"/>
              </w:rPr>
              <w:t xml:space="preserve">Management Consultant · Strategic Communications · Sustainability</w:t>
            </w:r>
          </w:p>
          <w:p>
            <w:pPr>
              <w:spacing w:after="0" w:before="0" w:line="285"/>
            </w:pPr>
            <w:r>
              <w:rPr>
                <w:rFonts w:ascii="Arial" w:cs="Arial" w:eastAsia="Arial" w:hAnsi="Arial"/>
                <w:color w:val="66736D"/>
                <w:sz w:val="19"/>
                <w:szCs w:val="19"/>
              </w:rPr>
              <w:t xml:space="preserve">Irene brings more than 15 years of experience across communications, strategy, sustainability, social impact and stakeholder engagement.</w:t>
            </w:r>
          </w:p>
        </w:tc>
      </w:tr>
    </w:tbl>
    <w:p>
      <w:pPr>
        <w:keepNext/>
        <w:spacing w:after="260" w:before="0" w:line="580"/>
      </w:pPr>
      <w:r>
        <w:rPr>
          <w:rFonts w:ascii="Arial" w:cs="Arial" w:eastAsia="Arial" w:hAnsi="Arial"/>
          <w:b/>
          <w:bCs/>
          <w:color w:val="174A44"/>
          <w:sz w:val="55"/>
          <w:szCs w:val="55"/>
        </w:rPr>
        <w:t xml:space="preserve">Let’s find the clearest
place to begin.</w:t>
      </w:r>
    </w:p>
    <w:p>
      <w:pPr>
        <w:spacing w:after="260" w:before="0" w:line="350"/>
      </w:pPr>
      <w:r>
        <w:rPr>
          <w:rFonts w:ascii="Arial" w:cs="Arial" w:eastAsia="Arial" w:hAnsi="Arial"/>
          <w:color w:val="66736D"/>
          <w:sz w:val="23"/>
          <w:szCs w:val="23"/>
        </w:rPr>
        <w:t xml:space="preserve">Bring the challenge as it is. A clarity conversation can help define what matters now, where the gaps sit and which Tamjab service or next step is most relevant.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4A44" w:val="clear"/>
            <w:tcMar>
              <w:top w:type="dxa" w:w="250"/>
              <w:left w:type="dxa" w:w="250"/>
              <w:bottom w:type="dxa" w:w="250"/>
              <w:right w:type="dxa" w:w="250"/>
            </w:tcMar>
            <w:vAlign w:val="top"/>
          </w:tcPr>
          <w:p>
            <w:pPr>
              <w:keepNext/>
              <w:spacing w:after="180" w:before="0" w:line="300"/>
            </w:pPr>
            <w:r>
              <w:rPr>
                <w:rFonts w:ascii="Arial" w:cs="Arial" w:eastAsia="Arial" w:hAnsi="Arial"/>
                <w:b/>
                <w:bCs/>
                <w:caps/>
                <w:color w:val="FFFFFF"/>
                <w:spacing w:val="70"/>
                <w:sz w:val="14"/>
                <w:szCs w:val="14"/>
              </w:rPr>
              <w:t xml:space="preserve">Book a clarity call</w:t>
            </w:r>
          </w:p>
          <w:p>
            <w:hyperlink w:history="1" r:id="rIdxobfsbfbtu5myncsnhwiu">
              <w:r>
                <w:rPr>
                  <w:rFonts w:ascii="Arial" w:cs="Arial" w:eastAsia="Arial" w:hAnsi="Arial"/>
                  <w:b/>
                  <w:bCs/>
                  <w:color w:val="FFFFFF"/>
                  <w:sz w:val="20"/>
                  <w:szCs w:val="20"/>
                </w:rPr>
                <w:t xml:space="preserve">cal.com/irene-bonjeh/clarity-call</w:t>
              </w:r>
            </w:hyperlink>
          </w:p>
        </w:tc>
      </w:tr>
    </w:tbl>
    <w:p>
      <w:pPr>
        <w:keepNext/>
        <w:spacing w:after="180" w:before="0" w:line="420"/>
      </w:pPr>
      <w:r>
        <w:rPr>
          <w:rFonts w:ascii="Arial" w:cs="Arial" w:eastAsia="Arial" w:hAnsi="Arial"/>
          <w:b/>
          <w:bCs/>
          <w:color w:val="174A44"/>
          <w:sz w:val="36"/>
          <w:szCs w:val="36"/>
        </w:rPr>
        <w:t xml:space="preserve">Connect</w:t>
      </w:r>
    </w:p>
    <w:p>
      <w:pPr>
        <w:spacing w:after="105"/>
      </w:pPr>
      <w:hyperlink w:history="1" r:id="rIdcvk9licetctvc2zvydejz">
        <w:r>
          <w:rPr>
            <w:rFonts w:ascii="Arial" w:cs="Arial" w:eastAsia="Arial" w:hAnsi="Arial"/>
            <w:b/>
            <w:bCs/>
            <w:color w:val="E66F51"/>
            <w:sz w:val="20"/>
            <w:szCs w:val="20"/>
          </w:rPr>
          <w:t xml:space="preserve">www.tamjab.org</w:t>
        </w:r>
      </w:hyperlink>
      <w:r>
        <w:rPr>
          <w:rFonts w:ascii="Arial" w:cs="Arial" w:eastAsia="Arial" w:hAnsi="Arial"/>
          <w:color w:val="102D28"/>
          <w:sz w:val="20"/>
          <w:szCs w:val="20"/>
        </w:rPr>
        <w:t xml:space="preserve">  Website</w:t>
      </w:r>
    </w:p>
    <w:p>
      <w:pPr>
        <w:spacing w:after="105"/>
      </w:pPr>
      <w:hyperlink w:history="1" r:id="rId6cvf40ty4esahedxxgqpb">
        <w:r>
          <w:rPr>
            <w:rFonts w:ascii="Arial" w:cs="Arial" w:eastAsia="Arial" w:hAnsi="Arial"/>
            <w:b/>
            <w:bCs/>
            <w:color w:val="E66F51"/>
            <w:sz w:val="20"/>
            <w:szCs w:val="20"/>
          </w:rPr>
          <w:t xml:space="preserve">Chat with us on WhatsApp</w:t>
        </w:r>
      </w:hyperlink>
      <w:r>
        <w:rPr>
          <w:rFonts w:ascii="Arial" w:cs="Arial" w:eastAsia="Arial" w:hAnsi="Arial"/>
          <w:color w:val="102D28"/>
          <w:sz w:val="20"/>
          <w:szCs w:val="20"/>
        </w:rPr>
        <w:t xml:space="preserve"/>
      </w:r>
    </w:p>
    <w:p>
      <w:pPr>
        <w:spacing w:after="105"/>
      </w:pPr>
      <w:hyperlink w:history="1" r:id="rIdouynyd6vbixycwl97pp-z">
        <w:r>
          <w:rPr>
            <w:rFonts w:ascii="Arial" w:cs="Arial" w:eastAsia="Arial" w:hAnsi="Arial"/>
            <w:b/>
            <w:bCs/>
            <w:color w:val="E66F51"/>
            <w:sz w:val="20"/>
            <w:szCs w:val="20"/>
          </w:rPr>
          <w:t xml:space="preserve">irene-bonjeh.com</w:t>
        </w:r>
      </w:hyperlink>
      <w:r>
        <w:rPr>
          <w:rFonts w:ascii="Arial" w:cs="Arial" w:eastAsia="Arial" w:hAnsi="Arial"/>
          <w:color w:val="102D28"/>
          <w:sz w:val="20"/>
          <w:szCs w:val="20"/>
        </w:rPr>
        <w:t xml:space="preserve">  Meet Irene</w:t>
      </w:r>
    </w:p>
    <w:p>
      <w:pPr>
        <w:spacing w:after="0" w:before="250" w:line="300"/>
      </w:pPr>
      <w:r>
        <w:rPr>
          <w:rFonts w:ascii="Arial" w:cs="Arial" w:eastAsia="Arial" w:hAnsi="Arial"/>
          <w:b/>
          <w:bCs/>
          <w:color w:val="174A44"/>
          <w:sz w:val="27"/>
          <w:szCs w:val="27"/>
        </w:rPr>
        <w:t xml:space="preserve">Transforming potential into impact.</w:t>
      </w:r>
    </w:p>
    <w:sectPr>
      <w:headerReference w:type="default" r:id="rId6"/>
      <w:footerReference w:type="default" r:id="rId7"/>
      <w:pgSz w:w="11906" w:h="16838" w:orient="portrait"/>
      <w:pgMar w:top="780" w:right="900" w:bottom="780" w:left="90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0" w:sz="5"/>
      </w:pBdr>
      <w:tabs>
        <w:tab w:val="right" w:pos="9000"/>
      </w:tabs>
      <w:spacing w:before="100"/>
    </w:pPr>
    <w:r>
      <w:rPr>
        <w:rFonts w:ascii="Arial" w:cs="Arial" w:eastAsia="Arial" w:hAnsi="Arial"/>
        <w:b/>
        <w:bCs/>
        <w:color w:val="174A44"/>
        <w:sz w:val="13"/>
        <w:szCs w:val="13"/>
      </w:rPr>
      <w:t xml:space="preserve">Transforming potential into impact.</w:t>
    </w:r>
    <w:r>
      <w:rPr>
        <w:rFonts w:ascii="Arial" w:cs="Arial" w:eastAsia="Arial" w:hAnsi="Arial"/>
        <w:color w:val="102D28"/>
        <w:sz w:val="13"/>
        <w:szCs w:val="13"/>
      </w:rPr>
      <w:t xml:space="preserve">	</w:t>
    </w:r>
    <w:hyperlink w:history="1" r:id="rIdfse0qodzxo_h-o6pv5fo8">
      <w:r>
        <w:rPr>
          <w:rFonts w:ascii="Arial" w:cs="Arial" w:eastAsia="Arial" w:hAnsi="Arial"/>
          <w:color w:val="66736D"/>
          <w:sz w:val="13"/>
          <w:szCs w:val="13"/>
        </w:rPr>
        <w:t xml:space="preserve">www.tamjab.org</w:t>
      </w:r>
    </w:hyperlink>
    <w:r>
      <w:rPr>
        <w:rFonts w:ascii="Arial" w:cs="Arial" w:eastAsia="Arial" w:hAnsi="Arial"/>
        <w:color w:val="66736D"/>
        <w:sz w:val="13"/>
        <w:szCs w:val="13"/>
      </w:rPr>
      <w:t xml:space="preserve">  •  </w:t>
    </w:r>
    <w:r>
      <w:rPr>
        <w:rFonts w:ascii="Arial" w:cs="Arial" w:eastAsia="Arial" w:hAnsi="Arial"/>
        <w:color w:val="66736D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1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8406"/>
    </w:tblGrid>
    <w:tr>
      <w:tc>
        <w:tcPr>
          <w:tcW w:type="dxa" w:w="1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r>
            <w:drawing>
              <wp:inline distT="0" distB="0" distL="0" distR="0">
                <wp:extent cx="904875" cy="381000"/>
                <wp:effectExtent t="0" r="0" b="0" l="0"/>
                <wp:docPr id="1" name="Tamjab logo" descr="Tamjab logo" title="Tamja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4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300"/>
            <w:jc w:val="right"/>
          </w:pPr>
          <w:r>
            <w:rPr>
              <w:rFonts w:ascii="Arial" w:cs="Arial" w:eastAsia="Arial" w:hAnsi="Arial"/>
              <w:b/>
              <w:bCs/>
              <w:color w:val="66736D"/>
              <w:spacing w:val="55"/>
              <w:sz w:val="12"/>
              <w:szCs w:val="12"/>
            </w:rPr>
            <w:t xml:space="preserve">CONCEPT NOTE  •  2026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5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2D28"/>
        <w:sz w:val="21"/>
        <w:szCs w:val="21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obfsbfbtu5myncsnhwiu" Type="http://schemas.openxmlformats.org/officeDocument/2006/relationships/hyperlink" Target="https://cal.com/irene-bonjeh/clarity-call" TargetMode="External"/><Relationship Id="rIdcvk9licetctvc2zvydejz" Type="http://schemas.openxmlformats.org/officeDocument/2006/relationships/hyperlink" Target="https://www.tamjab.org" TargetMode="External"/><Relationship Id="rId6cvf40ty4esahedxxgqpb" Type="http://schemas.openxmlformats.org/officeDocument/2006/relationships/hyperlink" Target="https://wa.me/message/MNL5DMGDQOWTH1" TargetMode="External"/><Relationship Id="rIdouynyd6vbixycwl97pp-z" Type="http://schemas.openxmlformats.org/officeDocument/2006/relationships/hyperlink" Target="https://irene-bonjeh.com/" TargetMode="External"/><Relationship Id="rId8" Type="http://schemas.openxmlformats.org/officeDocument/2006/relationships/image" Target="media/a6333c7e8aab30832503423ab4ebf3d45751057a.png"/><Relationship Id="rId9" Type="http://schemas.openxmlformats.org/officeDocument/2006/relationships/image" Target="media/4e5215282c7556fe15fb9355ebce7c2deff4cd41.jpg"/><Relationship Id="rId10" Type="http://schemas.openxmlformats.org/officeDocument/2006/relationships/image" Target="media/33da8d0974be3e86f4a93be728766f0324103f6f.jpg"/><Relationship Id="rId11" Type="http://schemas.openxmlformats.org/officeDocument/2006/relationships/image" Target="media/29c7372d9c2aed089fd866ce617e39c5cc4c5447.jpg"/><Relationship Id="rId12" Type="http://schemas.openxmlformats.org/officeDocument/2006/relationships/image" Target="media/f03d9076dc69299385694e9f059c3ff3b735ae47.jpg"/><Relationship Id="rId13" Type="http://schemas.openxmlformats.org/officeDocument/2006/relationships/image" Target="media/9683589a635f0de5f1ad9514599cd7e5cb16cfc5.jpg"/><Relationship Id="rId1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0qodzxo_h-o6pv5fo8" Type="http://schemas.openxmlformats.org/officeDocument/2006/relationships/hyperlink" Target="https://www.tamjab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6333c7e8aab30832503423ab4ebf3d45751057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Tamjab Concept Note</dc:title>
  <dc:subject>Client overview</dc:subject>
  <dc:creator>Tamjab</dc:creator>
  <dc:description>A concise introduction to Tamjab services, outcomes and ways to work together.</dc:description>
  <cp:lastModifiedBy>Un-named</cp:lastModifiedBy>
  <cp:revision>1</cp:revision>
  <dcterms:created xsi:type="dcterms:W3CDTF">2026-09-30T13:15:30.821Z</dcterms:created>
  <dcterms:modified xsi:type="dcterms:W3CDTF">2026-09-30T13:15:30.821Z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